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BCD7" w14:textId="77777777" w:rsidR="00C10B71" w:rsidRPr="00F02649" w:rsidRDefault="00C10B71" w:rsidP="00323F4C">
      <w:pPr>
        <w:pStyle w:val="BodyText"/>
        <w:keepNext/>
        <w:widowControl/>
        <w:ind w:left="3752"/>
        <w:rPr>
          <w:rFonts w:asciiTheme="minorBidi" w:hAnsiTheme="minorBidi" w:cstheme="minorBidi"/>
          <w:sz w:val="20"/>
        </w:rPr>
      </w:pPr>
    </w:p>
    <w:p w14:paraId="2DED63A4" w14:textId="77777777" w:rsidR="00C10B71" w:rsidRPr="00F02649" w:rsidRDefault="00C10B71" w:rsidP="00323F4C">
      <w:pPr>
        <w:keepNext/>
        <w:widowControl/>
        <w:spacing w:after="240"/>
        <w:ind w:left="-900" w:right="-532"/>
        <w:jc w:val="center"/>
        <w:textDirection w:val="btLr"/>
        <w:rPr>
          <w:rFonts w:asciiTheme="minorBidi" w:hAnsiTheme="minorBidi" w:cstheme="minorBidi"/>
          <w:b/>
          <w:color w:val="002060"/>
          <w:sz w:val="32"/>
        </w:rPr>
      </w:pPr>
      <w:r>
        <w:rPr>
          <w:rFonts w:asciiTheme="minorBidi" w:hAnsiTheme="minorBidi" w:cstheme="minorBidi"/>
          <w:b/>
          <w:color w:val="002060"/>
          <w:sz w:val="32"/>
        </w:rPr>
        <w:t xml:space="preserve">EXECUTIVE SUMMARY </w:t>
      </w:r>
    </w:p>
    <w:p w14:paraId="071454C3" w14:textId="77777777" w:rsidR="00C10B71" w:rsidRPr="00F02649" w:rsidRDefault="00C10B71" w:rsidP="00323F4C">
      <w:pPr>
        <w:keepNext/>
        <w:widowControl/>
        <w:spacing w:after="240"/>
        <w:ind w:left="-900" w:right="-532"/>
        <w:jc w:val="center"/>
        <w:textDirection w:val="btLr"/>
        <w:rPr>
          <w:rFonts w:asciiTheme="minorBidi" w:hAnsiTheme="minorBidi" w:cstheme="minorBidi"/>
          <w:sz w:val="10"/>
        </w:rPr>
      </w:pPr>
    </w:p>
    <w:p w14:paraId="32046993" w14:textId="77777777" w:rsidR="00C10B71" w:rsidRPr="00F02649" w:rsidRDefault="00C10B71" w:rsidP="00323F4C">
      <w:pPr>
        <w:keepNext/>
        <w:widowControl/>
        <w:ind w:left="-900" w:right="-532"/>
        <w:jc w:val="center"/>
        <w:rPr>
          <w:rFonts w:asciiTheme="minorBidi" w:hAnsiTheme="minorBidi" w:cstheme="minorBidi"/>
          <w:sz w:val="28"/>
          <w:szCs w:val="28"/>
        </w:rPr>
      </w:pPr>
      <w:r w:rsidRPr="00F02649">
        <w:rPr>
          <w:rFonts w:asciiTheme="minorBidi" w:hAnsiTheme="minorBidi" w:cstheme="minorBidi"/>
          <w:b/>
          <w:color w:val="000000"/>
          <w:sz w:val="32"/>
        </w:rPr>
        <w:t>RESETTLEMENT ACTION PLAN</w:t>
      </w:r>
    </w:p>
    <w:p w14:paraId="6E52F0BC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</w:p>
    <w:p w14:paraId="7EEA4F4F" w14:textId="77777777" w:rsidR="006A1F1B" w:rsidRPr="006A1F1B" w:rsidRDefault="00C10B71" w:rsidP="006A1F1B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000000" w:themeColor="text1"/>
          <w:sz w:val="28"/>
          <w:szCs w:val="28"/>
        </w:rPr>
      </w:pPr>
      <w:r w:rsidRPr="00F02649">
        <w:rPr>
          <w:rFonts w:asciiTheme="minorBidi" w:hAnsiTheme="minorBidi" w:cstheme="minorBidi"/>
          <w:b/>
          <w:color w:val="000000" w:themeColor="text1"/>
          <w:sz w:val="28"/>
          <w:szCs w:val="28"/>
        </w:rPr>
        <w:t>For</w:t>
      </w:r>
    </w:p>
    <w:p w14:paraId="7DF18301" w14:textId="77777777" w:rsidR="006A1F1B" w:rsidRPr="006A1F1B" w:rsidRDefault="006A1F1B" w:rsidP="006A1F1B">
      <w:pPr>
        <w:pStyle w:val="NormalWeb"/>
        <w:rPr>
          <w:rFonts w:ascii="Arial" w:eastAsia="Calibri" w:hAnsi="Arial" w:cs="Arial"/>
          <w:b/>
          <w:bCs/>
          <w:color w:val="00B050"/>
          <w:sz w:val="28"/>
          <w:szCs w:val="28"/>
        </w:rPr>
      </w:pPr>
      <w:proofErr w:type="spellStart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>Rongjeng</w:t>
      </w:r>
      <w:proofErr w:type="spellEnd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>–</w:t>
      </w:r>
      <w:proofErr w:type="spellStart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>Mangsang</w:t>
      </w:r>
      <w:proofErr w:type="spellEnd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>–</w:t>
      </w:r>
      <w:proofErr w:type="spellStart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>Adokgre</w:t>
      </w:r>
      <w:proofErr w:type="spellEnd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 xml:space="preserve"> (RMA) Road-ko 23rd km </w:t>
      </w:r>
      <w:proofErr w:type="spellStart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>pora</w:t>
      </w:r>
      <w:proofErr w:type="spellEnd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 xml:space="preserve"> 44th km </w:t>
      </w:r>
      <w:proofErr w:type="spellStart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>bilsi</w:t>
      </w:r>
      <w:proofErr w:type="spellEnd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 xml:space="preserve"> improvement </w:t>
      </w:r>
      <w:proofErr w:type="spellStart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>ka·se</w:t>
      </w:r>
      <w:proofErr w:type="spellEnd"/>
      <w:r w:rsidRPr="006A1F1B">
        <w:rPr>
          <w:rFonts w:ascii="Arial" w:eastAsia="Calibri" w:hAnsi="Arial" w:cs="Arial"/>
          <w:b/>
          <w:bCs/>
          <w:color w:val="00B050"/>
          <w:sz w:val="28"/>
          <w:szCs w:val="28"/>
        </w:rPr>
        <w:t>, Eldek Akong-o major bridge aro Bridge No. 1/6 construction ka·san, Meghalaya Logistics and Connectivity Improvement Project (MLCIP) rang·san, World Bank fund ka·se.</w:t>
      </w:r>
    </w:p>
    <w:p w14:paraId="353BC090" w14:textId="77777777" w:rsidR="00C10B71" w:rsidRPr="00F02649" w:rsidRDefault="00C10B71" w:rsidP="006A1F1B">
      <w:pPr>
        <w:keepNext/>
        <w:widowControl/>
        <w:ind w:right="-897"/>
        <w:rPr>
          <w:rFonts w:asciiTheme="minorBidi" w:hAnsiTheme="minorBidi" w:cstheme="minorBidi"/>
          <w:b/>
          <w:color w:val="31849B" w:themeColor="accent5" w:themeShade="BF"/>
          <w:sz w:val="28"/>
          <w:szCs w:val="28"/>
        </w:rPr>
      </w:pPr>
    </w:p>
    <w:p w14:paraId="50573040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</w:pPr>
      <w:r w:rsidRPr="00F02649">
        <w:rPr>
          <w:rFonts w:asciiTheme="minorBidi" w:hAnsiTheme="minorBidi" w:cstheme="minorBidi"/>
          <w:b/>
          <w:color w:val="31849B" w:themeColor="accent5" w:themeShade="BF"/>
          <w:sz w:val="28"/>
          <w:szCs w:val="28"/>
        </w:rPr>
        <w:t xml:space="preserve">Submitted </w:t>
      </w:r>
      <w:r w:rsidRPr="00F02649"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  <w:t>To</w:t>
      </w:r>
    </w:p>
    <w:p w14:paraId="3BE2DC38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</w:pPr>
    </w:p>
    <w:p w14:paraId="09272970" w14:textId="77777777" w:rsidR="00C10B71" w:rsidRPr="00F02649" w:rsidRDefault="00C10B71" w:rsidP="00323F4C">
      <w:pPr>
        <w:keepNext/>
        <w:widowControl/>
        <w:ind w:left="-851" w:right="-897"/>
        <w:jc w:val="center"/>
        <w:rPr>
          <w:rFonts w:asciiTheme="minorBidi" w:hAnsiTheme="minorBidi" w:cstheme="minorBidi"/>
          <w:b/>
          <w:color w:val="31849B" w:themeColor="accent5" w:themeShade="BF"/>
          <w:sz w:val="24"/>
          <w:szCs w:val="28"/>
        </w:rPr>
      </w:pPr>
    </w:p>
    <w:p w14:paraId="3E6D600A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000000" w:themeColor="text1"/>
          <w:sz w:val="24"/>
          <w:szCs w:val="28"/>
        </w:rPr>
      </w:pPr>
      <w:r w:rsidRPr="00F02649">
        <w:rPr>
          <w:rFonts w:asciiTheme="minorBidi" w:hAnsiTheme="minorBidi" w:cstheme="minorBidi"/>
          <w:b/>
          <w:noProof/>
          <w:color w:val="000000" w:themeColor="text1"/>
          <w:sz w:val="24"/>
          <w:szCs w:val="28"/>
        </w:rPr>
        <w:drawing>
          <wp:inline distT="0" distB="0" distL="0" distR="0" wp14:anchorId="3EADDB1E" wp14:editId="2EBBE1D2">
            <wp:extent cx="2054744" cy="1109448"/>
            <wp:effectExtent l="0" t="0" r="3175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69" cy="111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A3BE0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000000" w:themeColor="text1"/>
          <w:sz w:val="24"/>
          <w:szCs w:val="28"/>
        </w:rPr>
      </w:pPr>
    </w:p>
    <w:p w14:paraId="74A7A47D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000000" w:themeColor="text1"/>
          <w:sz w:val="24"/>
          <w:szCs w:val="28"/>
        </w:rPr>
      </w:pPr>
    </w:p>
    <w:p w14:paraId="5E5E3E61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 xml:space="preserve">Meghalaya Infrastructure Development Finance Corporation (MIDFC) Ltd. </w:t>
      </w:r>
    </w:p>
    <w:p w14:paraId="608BE986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>House No. L/A-56, Lower Nongrim Hills, Top Floor,</w:t>
      </w:r>
    </w:p>
    <w:p w14:paraId="728AB529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>Meghalaya Basin Development Authority (MBDA) Building,</w:t>
      </w:r>
    </w:p>
    <w:p w14:paraId="4E54CCEC" w14:textId="77777777" w:rsidR="00C10B71" w:rsidRPr="00153E4C" w:rsidRDefault="00C10B71" w:rsidP="00323F4C">
      <w:pPr>
        <w:keepNext/>
        <w:widowControl/>
        <w:ind w:left="-851" w:right="-465"/>
        <w:jc w:val="center"/>
        <w:rPr>
          <w:rFonts w:ascii="Arial" w:hAnsi="Arial" w:cs="Arial"/>
          <w:b/>
          <w:color w:val="C00000"/>
          <w:sz w:val="24"/>
          <w:szCs w:val="28"/>
        </w:rPr>
      </w:pPr>
      <w:r w:rsidRPr="00153E4C">
        <w:rPr>
          <w:rFonts w:ascii="Arial" w:eastAsiaTheme="minorEastAsia" w:hAnsi="Arial" w:cs="Arial"/>
          <w:b/>
          <w:bCs/>
          <w:color w:val="C00000"/>
          <w:sz w:val="24"/>
          <w:szCs w:val="28"/>
          <w:lang w:val="en-CA" w:eastAsia="en-CA"/>
        </w:rPr>
        <w:t>Shillong East Khasi Hills, Meghalaya-793003</w:t>
      </w:r>
    </w:p>
    <w:p w14:paraId="26464A49" w14:textId="77777777" w:rsidR="00C10B71" w:rsidRPr="00F02649" w:rsidRDefault="00C10B71" w:rsidP="00323F4C">
      <w:pPr>
        <w:keepNext/>
        <w:widowControl/>
        <w:jc w:val="center"/>
        <w:rPr>
          <w:rFonts w:asciiTheme="minorBidi" w:hAnsiTheme="minorBidi" w:cstheme="minorBidi"/>
          <w:b/>
          <w:color w:val="C00000"/>
          <w:sz w:val="24"/>
          <w:szCs w:val="28"/>
        </w:rPr>
      </w:pPr>
    </w:p>
    <w:p w14:paraId="2ED5E641" w14:textId="7091365F" w:rsidR="00C10B71" w:rsidRPr="00F02649" w:rsidRDefault="00C10B71" w:rsidP="00323F4C">
      <w:pPr>
        <w:keepNext/>
        <w:widowControl/>
        <w:spacing w:after="280"/>
        <w:ind w:left="-709" w:right="-323"/>
        <w:jc w:val="center"/>
        <w:rPr>
          <w:rFonts w:asciiTheme="minorBidi" w:hAnsiTheme="minorBidi" w:cstheme="minorBidi"/>
          <w:sz w:val="24"/>
          <w:szCs w:val="24"/>
        </w:rPr>
        <w:sectPr w:rsidR="00C10B71" w:rsidRPr="00F02649" w:rsidSect="00C10B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08" w:bottom="1440" w:left="1440" w:header="706" w:footer="706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  <w:r w:rsidRPr="00F02649">
        <w:rPr>
          <w:rFonts w:asciiTheme="minorBidi" w:hAnsiTheme="minorBidi" w:cstheme="minorBidi"/>
          <w:b/>
          <w:bCs/>
          <w:color w:val="0070C0"/>
          <w:szCs w:val="28"/>
        </w:rPr>
        <w:tab/>
      </w:r>
      <w:r w:rsidRPr="00F02649">
        <w:rPr>
          <w:rFonts w:asciiTheme="minorBidi" w:hAnsiTheme="minorBidi" w:cstheme="minorBidi"/>
        </w:rPr>
        <w:tab/>
      </w:r>
    </w:p>
    <w:p w14:paraId="5EEF0F02" w14:textId="77777777" w:rsidR="006D06EB" w:rsidRPr="006D06EB" w:rsidRDefault="006D06EB" w:rsidP="00323F4C">
      <w:pPr>
        <w:keepNext/>
        <w:widowControl/>
        <w:spacing w:after="240"/>
        <w:ind w:left="-900" w:right="-532"/>
        <w:jc w:val="center"/>
        <w:textDirection w:val="btLr"/>
        <w:rPr>
          <w:rFonts w:ascii="Arial" w:hAnsi="Arial" w:cs="Arial"/>
          <w:b/>
          <w:color w:val="002060"/>
        </w:rPr>
      </w:pPr>
      <w:r w:rsidRPr="006D06EB">
        <w:rPr>
          <w:rFonts w:ascii="Arial" w:hAnsi="Arial" w:cs="Arial"/>
          <w:b/>
          <w:color w:val="002060"/>
        </w:rPr>
        <w:lastRenderedPageBreak/>
        <w:t>EXECUTIVE SUMMARY</w:t>
      </w:r>
    </w:p>
    <w:p w14:paraId="141FBB8C" w14:textId="77777777" w:rsidR="006D06EB" w:rsidRPr="006D06EB" w:rsidRDefault="006D06EB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</w:p>
    <w:p w14:paraId="206AB6BD" w14:textId="77777777" w:rsidR="006A1F1B" w:rsidRPr="006A1F1B" w:rsidRDefault="006A1F1B" w:rsidP="006A1F1B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6A1F1B">
        <w:rPr>
          <w:rFonts w:ascii="Arial" w:eastAsia="Times New Roman" w:hAnsi="Arial" w:cs="Arial"/>
          <w:b/>
          <w:bCs/>
        </w:rPr>
        <w:t>1. Project Background</w:t>
      </w:r>
    </w:p>
    <w:p w14:paraId="38F13213" w14:textId="77777777" w:rsidR="006A1F1B" w:rsidRPr="006A1F1B" w:rsidRDefault="006A1F1B" w:rsidP="006A1F1B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>Meghalaya Logistics and Connectivity Improvement Project (MLCIP), World Bank fund ka·e aro Government of Meghalaya support ka·e, regional connectivity-ko neng·ketna, logistics efficiency-ko improve ka·na, aro climate-resilient transport infrastructure-ko promote ka·na aim ka·a. Proposed sub-project-o Rongjeng–Mangsang–Adokgre (RMA) Road-ko km 23+000 pora 44+000 (total 22 km) bilsi improvement ka·a, Eldek Akong-o major bridge aro Bridge No. 1/6 construction ka·san. Road-o East aro North Garo Hills District-rang bilsi ong·a aro rural shnong-rang, market-rang aro service centre-rang-na bynta important regional connector ong·a.</w:t>
      </w:r>
    </w:p>
    <w:p w14:paraId="181ACC56" w14:textId="77777777" w:rsidR="006A1F1B" w:rsidRPr="006A1F1B" w:rsidRDefault="006A1F1B" w:rsidP="006A1F1B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 w:rsidRPr="006A1F1B">
        <w:rPr>
          <w:rFonts w:ascii="Arial" w:eastAsia="Times New Roman" w:hAnsi="Arial" w:cs="Arial"/>
          <w:b/>
          <w:bCs/>
        </w:rPr>
        <w:t>2. Need for the Resettlement Action Plan</w:t>
      </w:r>
    </w:p>
    <w:p w14:paraId="571DB304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>RAP-ko road widening aro related civil works rang·san Corridor of Impact (CoI)-o ong·a land, structure aro livelihood impact-rang-ko address ka·na bynta prepare ka·a. Project-o Sixth Schedule area-o ong·a jaha Scheduled Tribe community-rang dominate ka·a, uni RAP-o World Bank Environmental and Social Framework (ESF), national aro state regulation-rang-ko comply ka·a aro Free, Prior and Informed Consent (FPIC) integrate ka·e indigenous people-rang-ni right aro livelihood-ko safeguard ka·na bynta.</w:t>
      </w:r>
    </w:p>
    <w:p w14:paraId="29698E00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</w:rPr>
      </w:pPr>
      <w:r w:rsidRPr="006A1F1B">
        <w:rPr>
          <w:rFonts w:ascii="Arial" w:eastAsia="Times New Roman" w:hAnsi="Arial" w:cs="Arial"/>
          <w:b/>
        </w:rPr>
        <w:t>3. Project Impacts and Affected Population</w:t>
      </w:r>
    </w:p>
    <w:p w14:paraId="51795EE8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>Project-ni impact-rang limited aro localized ong·a, badi-batde existing Right of Way (RoW)-o ong·a. Impact-rang-o residential aro commercial structure-rang-ni partial loss, chhota asset-rang-ni loss aro kichu location-o common property resource-rang-o impact include ka·a. Project Affected Persons (PAPs) pilak Scheduled Tribe community, badi-batde Garo household-rang ong·a. RAP-o CoI bilsi affected household-rang-ni 100% census aro socio-economic survey cover ka·a, impact-rang-ni proper identification aro mitigation ensure ka·na bynta.</w:t>
      </w:r>
    </w:p>
    <w:p w14:paraId="383ABA01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</w:rPr>
      </w:pPr>
      <w:r w:rsidRPr="006A1F1B">
        <w:rPr>
          <w:rFonts w:ascii="Arial" w:eastAsia="Times New Roman" w:hAnsi="Arial" w:cs="Arial"/>
          <w:b/>
        </w:rPr>
        <w:t>4. Socio-Economic Profile</w:t>
      </w:r>
    </w:p>
    <w:p w14:paraId="3FFE9C65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>Project corridor-o 13 rural village bilsi ong·a jaha Scheduled Tribe population badi-batde ong·a. Livelihood-rang-o agriculture, daily wage labour, petty trade aro forest-based activity-rang-na depend ka·a. Literacy aro income level village-rang bilsi vary ka·a aro vulnerable group-rang, jeman women-headed household aro low-income family-rang, noticeable ong·a. Social structure-o customary land tenure system aro matrilineal tradition-rang (Garo community-o) bilsi influence ka·a.</w:t>
      </w:r>
    </w:p>
    <w:p w14:paraId="25C294FA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</w:rPr>
      </w:pPr>
      <w:r w:rsidRPr="006A1F1B">
        <w:rPr>
          <w:rFonts w:ascii="Arial" w:eastAsia="Times New Roman" w:hAnsi="Arial" w:cs="Arial"/>
          <w:b/>
        </w:rPr>
        <w:t>5. Consultation, Disclosure, and FPIC</w:t>
      </w:r>
    </w:p>
    <w:p w14:paraId="34D9FCD5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 xml:space="preserve">Project planning time-o village aro district level-o extensive stakeholder consultation conduct ka·a. FPIC-ni tin round consultation PAPs, Nokma (village head), GHADC representative, aro local institution-rang baksa conduct ka·a—project information disclose ka·na, impact assess ka·na aro community consent obtain ka·na bynta. Consultation-rang-o culturally appropriate tarike-o, local language-o conduct ka·a aro feedback-rang project design aro </w:t>
      </w:r>
      <w:r w:rsidRPr="006A1F1B">
        <w:rPr>
          <w:rFonts w:ascii="Arial" w:eastAsia="Times New Roman" w:hAnsi="Arial" w:cs="Arial"/>
        </w:rPr>
        <w:lastRenderedPageBreak/>
        <w:t>mitigation measure-rang-o incorporate ka·a. RAP disclosure implementation time-o batabo continue ka·na.</w:t>
      </w:r>
    </w:p>
    <w:p w14:paraId="29C55232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</w:rPr>
      </w:pPr>
      <w:r w:rsidRPr="006A1F1B">
        <w:rPr>
          <w:rFonts w:ascii="Arial" w:eastAsia="Times New Roman" w:hAnsi="Arial" w:cs="Arial"/>
          <w:b/>
        </w:rPr>
        <w:t>6. Eligibility and Entitlements</w:t>
      </w:r>
    </w:p>
    <w:p w14:paraId="11EF0156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>Compensation aro assistance-na bynta eligibility-o CoI-o impact-o based ka·a aro titleholder, non-titleholder (encroacher aro squatter), aro vulnerable household-rang include ka·a. Entitlement-rang MPWD-ni approved Entitlement Matrix-o define ka·a, jaha RFCTLARR Act, 2013 aro World Bank ESF-sang aligned ong·a. Compensation-o full replacement cost-o provide ka·a, baksa resettlement assistance, livelihood restoration support aro Grievance Redress Mechanism (GRM)-o access ensure ka·a, jate affected household-rang-ni living standard restore ba improve ka·na man·a.</w:t>
      </w:r>
    </w:p>
    <w:p w14:paraId="19130A6D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</w:rPr>
      </w:pPr>
      <w:r w:rsidRPr="006A1F1B">
        <w:rPr>
          <w:rFonts w:ascii="Arial" w:eastAsia="Times New Roman" w:hAnsi="Arial" w:cs="Arial"/>
          <w:b/>
        </w:rPr>
        <w:t>7. Institutional Arrangements and Grievance Redress</w:t>
      </w:r>
    </w:p>
    <w:p w14:paraId="0A83A455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>RAP implementation Meghalaya Public Works Department (PWD) ka·a, E&amp;S Cell, district administration aro GHADC support-sang. Two-tier Grievance Redress Mechanism (GRM) establish ka·a jate complaint-rang transparent aro time-bound tarike-o address ka·na man·a, village, district aro state level-o accessible ong·a.</w:t>
      </w:r>
    </w:p>
    <w:p w14:paraId="77441536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</w:rPr>
      </w:pPr>
      <w:r w:rsidRPr="006A1F1B">
        <w:rPr>
          <w:rFonts w:ascii="Arial" w:eastAsia="Times New Roman" w:hAnsi="Arial" w:cs="Arial"/>
          <w:b/>
        </w:rPr>
        <w:t>8. Implementation Schedule and Budget</w:t>
      </w:r>
    </w:p>
    <w:p w14:paraId="09EEABA3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>RAP-o phased manner-o implement ka·na aro civil works-sang synchronize ka·a. Affected section-rang-o construction start-na skang compensation aro assistance pilak pay ka·na. Total Resettlement and Rehabilitation (R&amp;R) budget estimate ka·a aro structure compensation, resettlement assistance, livelihood restoration, administrative cost, monitoring aro contingency-rang include ka·a.</w:t>
      </w:r>
    </w:p>
    <w:p w14:paraId="243B38CD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</w:rPr>
      </w:pPr>
      <w:r w:rsidRPr="006A1F1B">
        <w:rPr>
          <w:rFonts w:ascii="Arial" w:eastAsia="Times New Roman" w:hAnsi="Arial" w:cs="Arial"/>
          <w:b/>
        </w:rPr>
        <w:t>9. Monitoring and Evaluation</w:t>
      </w:r>
    </w:p>
    <w:p w14:paraId="0EFEC6E0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>RAP implementation effective ong·na ensure ka·na internal aro external monitoring mechanism use ka·a. Monitoring indicator-rang physical progress, financial disbursement, grievance redress aro livelihood restoration outcome-rang cover ka·a. Impact evaluation-o assess ka·a je affected household-rang nijer living standard restore ba improve ka·na man·e ni.</w:t>
      </w:r>
    </w:p>
    <w:p w14:paraId="5F202DE7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</w:rPr>
      </w:pPr>
      <w:r w:rsidRPr="006A1F1B">
        <w:rPr>
          <w:rFonts w:ascii="Arial" w:eastAsia="Times New Roman" w:hAnsi="Arial" w:cs="Arial"/>
          <w:b/>
        </w:rPr>
        <w:t>10. Grievance Redress Mechanism</w:t>
      </w:r>
    </w:p>
    <w:p w14:paraId="708DEF66" w14:textId="77777777" w:rsidR="006A1F1B" w:rsidRPr="006A1F1B" w:rsidRDefault="006A1F1B" w:rsidP="006A1F1B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</w:rPr>
      </w:pPr>
      <w:r w:rsidRPr="006A1F1B">
        <w:rPr>
          <w:rFonts w:ascii="Arial" w:eastAsia="Times New Roman" w:hAnsi="Arial" w:cs="Arial"/>
        </w:rPr>
        <w:t>Niche dia flowchart-o two-tier grievance redressal mechanism-ko explain ka·a, jaha responsibility aro resolution timeline-rang clearly define ka·a.</w:t>
      </w:r>
    </w:p>
    <w:p w14:paraId="10261F42" w14:textId="77777777" w:rsidR="006D06EB" w:rsidRPr="00BB417B" w:rsidRDefault="006D06EB" w:rsidP="00323F4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hAnsi="Arial" w:cs="Arial"/>
          <w:lang w:bidi="te-I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72"/>
        <w:gridCol w:w="5684"/>
      </w:tblGrid>
      <w:tr w:rsidR="006D06EB" w:rsidRPr="006A1F1B" w14:paraId="41984AE4" w14:textId="77777777" w:rsidTr="00D077FC">
        <w:trPr>
          <w:trHeight w:val="125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C8D" w14:textId="77777777" w:rsidR="006D06EB" w:rsidRPr="00BB417B" w:rsidRDefault="006D06EB" w:rsidP="00323F4C">
            <w:pPr>
              <w:keepNext/>
              <w:widowControl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b/>
                <w:lang w:bidi="te-IN"/>
              </w:rPr>
              <w:t>Tier I: Project Site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E231" w14:textId="77777777" w:rsidR="006D06EB" w:rsidRPr="00BB417B" w:rsidRDefault="006D06EB" w:rsidP="00323F4C">
            <w:pPr>
              <w:keepNext/>
              <w:widowControl/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0"/>
                <w:tab w:val="left" w:pos="732"/>
                <w:tab w:val="left" w:pos="3559"/>
                <w:tab w:val="left" w:pos="4063"/>
              </w:tabs>
              <w:spacing w:before="100" w:beforeAutospacing="1" w:after="100" w:afterAutospacing="1"/>
              <w:jc w:val="both"/>
              <w:textAlignment w:val="center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lang w:bidi="te-IN"/>
              </w:rPr>
              <w:t xml:space="preserve">Responsibility: </w:t>
            </w:r>
            <w:r w:rsidR="006A1F1B" w:rsidRPr="006A1F1B">
              <w:rPr>
                <w:rFonts w:ascii="Arial" w:hAnsi="Arial" w:cs="Arial"/>
                <w:lang w:bidi="te-IN"/>
              </w:rPr>
              <w:t>Village Executive Committees (VECs) aro Headman (Nokma)</w:t>
            </w:r>
            <w:r w:rsidRPr="00BB417B">
              <w:rPr>
                <w:rFonts w:ascii="Arial" w:hAnsi="Arial" w:cs="Arial"/>
                <w:lang w:bidi="te-IN"/>
              </w:rPr>
              <w:br/>
              <w:t xml:space="preserve">Timeline: </w:t>
            </w:r>
            <w:r w:rsidR="006A1F1B" w:rsidRPr="006A1F1B">
              <w:rPr>
                <w:rFonts w:ascii="Arial" w:hAnsi="Arial" w:cs="Arial"/>
                <w:lang w:bidi="te-IN"/>
              </w:rPr>
              <w:t>Grievance-rang 15 sngi-ni bilsi resolve ka·na</w:t>
            </w:r>
            <w:r w:rsidRPr="00BB417B">
              <w:rPr>
                <w:rFonts w:ascii="Arial" w:hAnsi="Arial" w:cs="Arial"/>
                <w:lang w:bidi="te-IN"/>
              </w:rPr>
              <w:br/>
              <w:t>If unresolved → Escalate to PMU (Tier II)</w:t>
            </w:r>
          </w:p>
        </w:tc>
      </w:tr>
      <w:tr w:rsidR="006D06EB" w:rsidRPr="00BB417B" w14:paraId="006FB3C8" w14:textId="77777777" w:rsidTr="00D077FC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E58C" w14:textId="77777777" w:rsidR="006D06EB" w:rsidRPr="00BB417B" w:rsidRDefault="006D06EB" w:rsidP="00323F4C">
            <w:pPr>
              <w:keepNext/>
              <w:widowControl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b/>
                <w:lang w:bidi="te-IN"/>
              </w:rPr>
              <w:t>Tier II: State Level (PMU)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E1BC" w14:textId="77777777" w:rsidR="006D06EB" w:rsidRPr="006A1F1B" w:rsidRDefault="006D06EB" w:rsidP="006A1F1B">
            <w:pPr>
              <w:pStyle w:val="NormalWeb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hAnsi="Arial" w:cs="Arial"/>
                <w:lang w:bidi="te-IN"/>
              </w:rPr>
              <w:t>Responsibility: Secretary Planning, Chief Engineer,</w:t>
            </w:r>
            <w:r w:rsidRPr="00BB417B">
              <w:rPr>
                <w:rFonts w:ascii="Arial" w:hAnsi="Arial" w:cs="Arial"/>
                <w:lang w:bidi="te-IN"/>
              </w:rPr>
              <w:br/>
              <w:t>Project Director, Social Expert</w:t>
            </w:r>
            <w:r w:rsidRPr="00BB417B">
              <w:rPr>
                <w:rFonts w:ascii="Arial" w:hAnsi="Arial" w:cs="Arial"/>
                <w:lang w:bidi="te-IN"/>
              </w:rPr>
              <w:br/>
              <w:t xml:space="preserve">Timeline: </w:t>
            </w:r>
            <w:r w:rsidR="006A1F1B" w:rsidRPr="006A1F1B">
              <w:rPr>
                <w:rFonts w:ascii="Arial" w:hAnsi="Arial" w:cs="Arial"/>
                <w:lang w:bidi="te-IN"/>
              </w:rPr>
              <w:t xml:space="preserve">Grievance-rang </w:t>
            </w:r>
            <w:r w:rsidR="006A1F1B" w:rsidRPr="006A1F1B">
              <w:rPr>
                <w:rFonts w:ascii="Arial" w:eastAsia="Calibri" w:hAnsi="Arial" w:cs="Arial"/>
                <w:sz w:val="22"/>
                <w:szCs w:val="22"/>
                <w:lang w:bidi="te-IN"/>
              </w:rPr>
              <w:t>15 sngi-ni bilsi resolve ka·na</w:t>
            </w:r>
          </w:p>
        </w:tc>
      </w:tr>
    </w:tbl>
    <w:p w14:paraId="5850A1E6" w14:textId="77777777" w:rsidR="00A258C0" w:rsidRDefault="00A258C0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</w:p>
    <w:p w14:paraId="285FCEC5" w14:textId="77777777" w:rsidR="00A258C0" w:rsidRDefault="00A258C0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</w:p>
    <w:p w14:paraId="7E8C352D" w14:textId="77777777" w:rsidR="00A258C0" w:rsidRDefault="00A258C0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</w:p>
    <w:p w14:paraId="63E108D7" w14:textId="77777777" w:rsidR="00A258C0" w:rsidRDefault="00A258C0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</w:p>
    <w:p w14:paraId="4B1D05EF" w14:textId="77777777" w:rsidR="006D06EB" w:rsidRPr="00BB417B" w:rsidRDefault="006D06EB" w:rsidP="00323F4C">
      <w:pPr>
        <w:keepNext/>
        <w:widowControl/>
        <w:jc w:val="both"/>
        <w:rPr>
          <w:rFonts w:ascii="Arial" w:hAnsi="Arial" w:cs="Arial"/>
          <w:b/>
          <w:lang w:bidi="te-IN"/>
        </w:rPr>
      </w:pPr>
      <w:r>
        <w:rPr>
          <w:rFonts w:ascii="Arial" w:hAnsi="Arial" w:cs="Arial"/>
          <w:b/>
          <w:lang w:bidi="te-IN"/>
        </w:rPr>
        <w:t>Grievance R</w:t>
      </w:r>
      <w:r w:rsidRPr="00BB417B">
        <w:rPr>
          <w:rFonts w:ascii="Arial" w:hAnsi="Arial" w:cs="Arial"/>
          <w:b/>
          <w:lang w:bidi="te-IN"/>
        </w:rPr>
        <w:t>edressal Mechanism</w:t>
      </w:r>
    </w:p>
    <w:p w14:paraId="337975E5" w14:textId="77777777" w:rsidR="006D06EB" w:rsidRPr="00BB417B" w:rsidRDefault="006D06EB" w:rsidP="00323F4C">
      <w:pPr>
        <w:keepNext/>
        <w:widowControl/>
        <w:jc w:val="both"/>
        <w:rPr>
          <w:rFonts w:ascii="Arial" w:hAnsi="Arial" w:cs="Arial"/>
        </w:rPr>
      </w:pPr>
      <w:r w:rsidRPr="006D06EB">
        <w:rPr>
          <w:rFonts w:ascii="Arial" w:hAnsi="Arial" w:cs="Arial"/>
          <w:noProof/>
          <w:u w:val="single"/>
        </w:rPr>
        <w:drawing>
          <wp:inline distT="0" distB="0" distL="0" distR="0" wp14:anchorId="78D2F98C" wp14:editId="50BC5BE8">
            <wp:extent cx="5807075" cy="4229983"/>
            <wp:effectExtent l="19050" t="19050" r="3175" b="0"/>
            <wp:docPr id="1519963005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4229983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5ACA463" w14:textId="77777777" w:rsidR="006D06EB" w:rsidRDefault="006D06E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5B2B4DC5" w14:textId="77777777" w:rsidR="006A1F1B" w:rsidRDefault="006A1F1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2753564F" w14:textId="77777777" w:rsidR="006A1F1B" w:rsidRDefault="006A1F1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4322E313" w14:textId="77777777" w:rsidR="006A1F1B" w:rsidRDefault="006A1F1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2C6E2998" w14:textId="77777777" w:rsidR="006A1F1B" w:rsidRDefault="006A1F1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193E6FF5" w14:textId="77777777" w:rsidR="006A1F1B" w:rsidRDefault="006A1F1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0B59C547" w14:textId="77777777" w:rsidR="006A1F1B" w:rsidRDefault="006A1F1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0DF1DBE9" w14:textId="77777777" w:rsidR="006A1F1B" w:rsidRDefault="006A1F1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128E2615" w14:textId="77777777" w:rsidR="006A1F1B" w:rsidRDefault="006A1F1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</w:pPr>
    </w:p>
    <w:p w14:paraId="72579C16" w14:textId="77777777" w:rsidR="006D06EB" w:rsidRPr="00BB417B" w:rsidRDefault="006D06EB" w:rsidP="00323F4C">
      <w:pPr>
        <w:keepNext/>
        <w:widowControl/>
        <w:shd w:val="clear" w:color="auto" w:fill="FFFFFF"/>
        <w:jc w:val="both"/>
        <w:rPr>
          <w:rFonts w:ascii="Arial" w:eastAsia="sans-serif" w:hAnsi="Arial" w:cs="Arial"/>
          <w:b/>
          <w:bCs/>
          <w:color w:val="000000"/>
          <w:lang w:bidi="te-IN"/>
        </w:rPr>
      </w:pPr>
      <w:r w:rsidRPr="00BB417B">
        <w:rPr>
          <w:rFonts w:ascii="Arial" w:eastAsia="sans-serif" w:hAnsi="Arial" w:cs="Arial"/>
          <w:b/>
          <w:bCs/>
          <w:color w:val="000000"/>
          <w:shd w:val="clear" w:color="auto" w:fill="FFFFFF"/>
          <w:lang w:eastAsia="zh-CN"/>
        </w:rPr>
        <w:lastRenderedPageBreak/>
        <w:t>Details of contact for Grievances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6"/>
        <w:gridCol w:w="5556"/>
      </w:tblGrid>
      <w:tr w:rsidR="006D06EB" w:rsidRPr="00BB417B" w14:paraId="26E26931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BFB7E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b/>
                <w:bCs/>
                <w:color w:val="000000"/>
                <w:lang w:eastAsia="zh-CN"/>
              </w:rPr>
              <w:t>Description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BBE239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b/>
                <w:bCs/>
                <w:color w:val="000000"/>
                <w:lang w:eastAsia="zh-CN"/>
              </w:rPr>
              <w:t>Contact details</w:t>
            </w:r>
          </w:p>
        </w:tc>
      </w:tr>
      <w:tr w:rsidR="006D06EB" w:rsidRPr="00BB417B" w14:paraId="3CE5CA8C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A5763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Company: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2761F4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PWD, Meghalaya</w:t>
            </w:r>
          </w:p>
        </w:tc>
      </w:tr>
      <w:tr w:rsidR="006D06EB" w:rsidRPr="00BB417B" w14:paraId="35ABA1CA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82EE8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To: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C5027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Chief Engineer-cum-Nodal officer</w:t>
            </w:r>
          </w:p>
        </w:tc>
      </w:tr>
      <w:tr w:rsidR="006D06EB" w:rsidRPr="00BB417B" w14:paraId="0790DE74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A9003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Address: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37D75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HV9P+GFJ, Lachumiere, Shillong, Meghalaya 793001</w:t>
            </w:r>
          </w:p>
        </w:tc>
      </w:tr>
      <w:tr w:rsidR="006D06EB" w:rsidRPr="00BB417B" w14:paraId="1D69D807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2BFA9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E-mail: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FA715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hyperlink r:id="rId15" w:history="1">
              <w:r w:rsidRPr="00BB417B">
                <w:rPr>
                  <w:rFonts w:ascii="Arial" w:eastAsia="sans-serif" w:hAnsi="Arial" w:cs="Arial"/>
                  <w:color w:val="0000FF"/>
                  <w:u w:val="single"/>
                  <w:lang w:bidi="te-IN"/>
                </w:rPr>
                <w:t>esmlcip@gmail.com</w:t>
              </w:r>
            </w:hyperlink>
          </w:p>
        </w:tc>
      </w:tr>
      <w:tr w:rsidR="006D06EB" w:rsidRPr="00BB417B" w14:paraId="5AD8351E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9140B7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Website: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6C5A7C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hyperlink r:id="rId16" w:tgtFrame="https://f6email.rediff.com/ajaxprism/_blank" w:history="1">
              <w:r w:rsidRPr="00BB417B">
                <w:rPr>
                  <w:rFonts w:ascii="Arial" w:eastAsia="sans-serif" w:hAnsi="Arial" w:cs="Arial"/>
                  <w:color w:val="0070C0"/>
                  <w:u w:val="single"/>
                  <w:lang w:bidi="te-IN"/>
                </w:rPr>
                <w:t>http://megpwd.gov.in/contacts.html</w:t>
              </w:r>
            </w:hyperlink>
          </w:p>
        </w:tc>
      </w:tr>
      <w:tr w:rsidR="006D06EB" w:rsidRPr="00BB417B" w14:paraId="17C2180E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A9EAF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Telephone: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670CD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Tel: 0364-3572466</w:t>
            </w:r>
          </w:p>
        </w:tc>
      </w:tr>
      <w:tr w:rsidR="006D06EB" w:rsidRPr="00BB417B" w14:paraId="3808CD1A" w14:textId="77777777" w:rsidTr="00D077FC">
        <w:tc>
          <w:tcPr>
            <w:tcW w:w="296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191AE" w14:textId="77777777" w:rsidR="006D06EB" w:rsidRPr="00BB417B" w:rsidRDefault="006D06EB" w:rsidP="00323F4C">
            <w:pPr>
              <w:keepNext/>
              <w:widowControl/>
              <w:spacing w:before="120" w:after="120" w:line="202" w:lineRule="atLeast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Fax:</w:t>
            </w:r>
          </w:p>
        </w:tc>
        <w:tc>
          <w:tcPr>
            <w:tcW w:w="555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DE7A5A" w14:textId="77777777" w:rsidR="006D06EB" w:rsidRPr="00BB417B" w:rsidRDefault="006D06EB" w:rsidP="00323F4C">
            <w:pPr>
              <w:keepNext/>
              <w:widowControl/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hAnsi="Arial" w:cs="Arial"/>
                <w:lang w:bidi="te-IN"/>
              </w:rPr>
            </w:pPr>
            <w:r w:rsidRPr="00BB417B">
              <w:rPr>
                <w:rFonts w:ascii="Arial" w:eastAsia="sans-serif" w:hAnsi="Arial" w:cs="Arial"/>
                <w:color w:val="000000"/>
                <w:lang w:eastAsia="zh-CN"/>
              </w:rPr>
              <w:t>-</w:t>
            </w:r>
          </w:p>
        </w:tc>
      </w:tr>
    </w:tbl>
    <w:p w14:paraId="44B12268" w14:textId="77777777" w:rsidR="00C10B71" w:rsidRPr="00C10B71" w:rsidRDefault="006D06EB" w:rsidP="00323F4C">
      <w:pPr>
        <w:keepNext/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11</w:t>
      </w:r>
      <w:r w:rsidR="00C10B71" w:rsidRPr="00C10B71">
        <w:rPr>
          <w:rFonts w:ascii="Arial" w:eastAsia="Times New Roman" w:hAnsi="Arial" w:cs="Arial"/>
          <w:b/>
          <w:bCs/>
        </w:rPr>
        <w:t>. Conclusion</w:t>
      </w:r>
    </w:p>
    <w:p w14:paraId="5A81BFF4" w14:textId="77777777" w:rsidR="001B0CD1" w:rsidRPr="000909EE" w:rsidRDefault="006A1F1B" w:rsidP="00323F4C">
      <w:pPr>
        <w:keepNext/>
        <w:widowControl/>
        <w:jc w:val="both"/>
        <w:rPr>
          <w:rFonts w:ascii="Arial" w:eastAsia="Times New Roman" w:hAnsi="Arial" w:cs="Arial"/>
        </w:rPr>
      </w:pPr>
      <w:r w:rsidRPr="000909EE">
        <w:rPr>
          <w:rFonts w:ascii="Arial" w:eastAsia="Times New Roman" w:hAnsi="Arial" w:cs="Arial"/>
        </w:rPr>
        <w:t>Rongjeng – Mangsang – Adokgre (RMA) Road-ni Resettlement Action Plan (RAP)-a project-ni inclusive development, tribal rights rakna, aro social sustainability-ko bikma dakaha. Resettlement-ni impact rang bang·jaode, strong community engagement aro robust mitigation measures ong·gipa, project-na socio-economic benefit dakgipa-ko man·gen ine nikaha. Aro, affected ong·gipa manderang-ni fair aro equitable bisi dak·ma bichar ko·ripa dakaha.</w:t>
      </w:r>
    </w:p>
    <w:sectPr w:rsidR="001B0CD1" w:rsidRPr="000909EE" w:rsidSect="006D06EB">
      <w:headerReference w:type="default" r:id="rId17"/>
      <w:footerReference w:type="default" r:id="rId18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A268" w14:textId="77777777" w:rsidR="00F32BFE" w:rsidRDefault="00F32BFE" w:rsidP="00C10B71">
      <w:r>
        <w:separator/>
      </w:r>
    </w:p>
  </w:endnote>
  <w:endnote w:type="continuationSeparator" w:id="0">
    <w:p w14:paraId="2AF7828C" w14:textId="77777777" w:rsidR="00F32BFE" w:rsidRDefault="00F32BFE" w:rsidP="00C1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D77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90F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7C5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360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E57864" w14:textId="77777777" w:rsidR="006D06EB" w:rsidRDefault="00E25F33">
        <w:pPr>
          <w:pStyle w:val="Footer"/>
          <w:jc w:val="right"/>
        </w:pPr>
        <w:r>
          <w:fldChar w:fldCharType="begin"/>
        </w:r>
        <w:r w:rsidR="006D06EB">
          <w:instrText xml:space="preserve"> PAGE   \* MERGEFORMAT </w:instrText>
        </w:r>
        <w:r>
          <w:fldChar w:fldCharType="separate"/>
        </w:r>
        <w:r w:rsidR="00090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485D3B" w14:textId="77777777" w:rsidR="00C10B71" w:rsidRDefault="00C10B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E2A7" w14:textId="77777777" w:rsidR="00F32BFE" w:rsidRDefault="00F32BFE" w:rsidP="00C10B71">
      <w:r>
        <w:separator/>
      </w:r>
    </w:p>
  </w:footnote>
  <w:footnote w:type="continuationSeparator" w:id="0">
    <w:p w14:paraId="0CFAE90C" w14:textId="77777777" w:rsidR="00F32BFE" w:rsidRDefault="00F32BFE" w:rsidP="00C1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5B1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668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5B7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both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9594" w:themeFill="accent2" w:themeFillTint="99"/>
      <w:tblLook w:val="04A0" w:firstRow="1" w:lastRow="0" w:firstColumn="1" w:lastColumn="0" w:noHBand="0" w:noVBand="1"/>
    </w:tblPr>
    <w:tblGrid>
      <w:gridCol w:w="9463"/>
    </w:tblGrid>
    <w:tr w:rsidR="006D06EB" w:rsidRPr="00CD7B03" w14:paraId="7CDA8337" w14:textId="77777777" w:rsidTr="006A1F1B">
      <w:trPr>
        <w:trHeight w:val="1200"/>
      </w:trPr>
      <w:tc>
        <w:tcPr>
          <w:tcW w:w="5000" w:type="pct"/>
          <w:shd w:val="clear" w:color="auto" w:fill="D99594" w:themeFill="accent2" w:themeFillTint="99"/>
        </w:tcPr>
        <w:p w14:paraId="513E461D" w14:textId="77777777" w:rsidR="006A1F1B" w:rsidRPr="006A1F1B" w:rsidRDefault="006A1F1B" w:rsidP="006A1F1B">
          <w:pPr>
            <w:pStyle w:val="NormalWeb"/>
            <w:rPr>
              <w:rFonts w:ascii="Arial" w:hAnsi="Arial" w:cs="Arial"/>
              <w:sz w:val="22"/>
              <w:szCs w:val="22"/>
            </w:rPr>
          </w:pPr>
          <w:r w:rsidRPr="006A1F1B">
            <w:rPr>
              <w:rFonts w:ascii="Arial" w:hAnsi="Arial" w:cs="Arial"/>
              <w:sz w:val="22"/>
              <w:szCs w:val="22"/>
            </w:rPr>
            <w:t>Rongjeng–Mangsang–Adokgre (RMA) Road-ko 23rd km pora 44th km bilsi improvement ka·se, Eldek Akong-o major bridge aro Bridge No. 1/6 construction ka·san, Meghalaya Logistics and Connectivity Improvement Project (MLCIP) rang·san, World Bank fund ka·se.</w:t>
          </w:r>
        </w:p>
        <w:p w14:paraId="5D14AA6A" w14:textId="77777777" w:rsidR="006D06EB" w:rsidRPr="00CD7B03" w:rsidRDefault="007C56CD" w:rsidP="00D077FC">
          <w:pPr>
            <w:jc w:val="right"/>
            <w:textDirection w:val="btLr"/>
            <w:rPr>
              <w:b/>
              <w:i/>
              <w:color w:val="000000" w:themeColor="text1"/>
            </w:rPr>
          </w:pPr>
          <w:r>
            <w:rPr>
              <w:b/>
              <w:i/>
              <w:color w:val="000000" w:themeColor="text1"/>
            </w:rPr>
            <w:t xml:space="preserve">Executive Summary Of </w:t>
          </w:r>
          <w:r w:rsidR="006D06EB" w:rsidRPr="00080E80">
            <w:rPr>
              <w:b/>
              <w:i/>
              <w:color w:val="000000" w:themeColor="text1"/>
            </w:rPr>
            <w:t>Resettlement Action Plan</w:t>
          </w:r>
        </w:p>
      </w:tc>
    </w:tr>
  </w:tbl>
  <w:p w14:paraId="65E8C599" w14:textId="77777777" w:rsidR="006D06EB" w:rsidRDefault="006D06EB" w:rsidP="006D06EB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CD4"/>
    <w:multiLevelType w:val="multilevel"/>
    <w:tmpl w:val="6C22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23D66"/>
    <w:multiLevelType w:val="multilevel"/>
    <w:tmpl w:val="6E74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97710"/>
    <w:multiLevelType w:val="multilevel"/>
    <w:tmpl w:val="F74A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44995"/>
    <w:multiLevelType w:val="multilevel"/>
    <w:tmpl w:val="4984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B0A8E"/>
    <w:multiLevelType w:val="multilevel"/>
    <w:tmpl w:val="3BB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105188">
    <w:abstractNumId w:val="0"/>
  </w:num>
  <w:num w:numId="2" w16cid:durableId="1159269443">
    <w:abstractNumId w:val="2"/>
  </w:num>
  <w:num w:numId="3" w16cid:durableId="621575339">
    <w:abstractNumId w:val="1"/>
  </w:num>
  <w:num w:numId="4" w16cid:durableId="94643867">
    <w:abstractNumId w:val="3"/>
  </w:num>
  <w:num w:numId="5" w16cid:durableId="98693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AB"/>
    <w:rsid w:val="000909EE"/>
    <w:rsid w:val="001B0CD1"/>
    <w:rsid w:val="00323F4C"/>
    <w:rsid w:val="005D4777"/>
    <w:rsid w:val="006A1F1B"/>
    <w:rsid w:val="006D06EB"/>
    <w:rsid w:val="007C56CD"/>
    <w:rsid w:val="008A7EAB"/>
    <w:rsid w:val="00A258C0"/>
    <w:rsid w:val="00A353B8"/>
    <w:rsid w:val="00C10B71"/>
    <w:rsid w:val="00CC413F"/>
    <w:rsid w:val="00D06D77"/>
    <w:rsid w:val="00E25F33"/>
    <w:rsid w:val="00EF7D61"/>
    <w:rsid w:val="00F22380"/>
    <w:rsid w:val="00F32BFE"/>
    <w:rsid w:val="00FC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6B69"/>
  <w15:docId w15:val="{B3993D14-9468-4F91-97B6-414250E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0B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10B7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0B71"/>
  </w:style>
  <w:style w:type="character" w:customStyle="1" w:styleId="BodyTextChar">
    <w:name w:val="Body Text Char"/>
    <w:basedOn w:val="DefaultParagraphFont"/>
    <w:link w:val="BodyText"/>
    <w:uiPriority w:val="1"/>
    <w:rsid w:val="00C10B71"/>
    <w:rPr>
      <w:rFonts w:ascii="Calibri" w:eastAsia="Calibri" w:hAnsi="Calibri" w:cs="Calibr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B71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10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71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71"/>
    <w:rPr>
      <w:rFonts w:ascii="Calibri" w:eastAsia="Calibri" w:hAnsi="Calibri" w:cs="Calibri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10B7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C10B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0B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megpwd.gov.in/contact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mitpshillong@gmail.com</cp:lastModifiedBy>
  <cp:revision>2</cp:revision>
  <dcterms:created xsi:type="dcterms:W3CDTF">2026-01-10T14:27:00Z</dcterms:created>
  <dcterms:modified xsi:type="dcterms:W3CDTF">2026-01-10T14:27:00Z</dcterms:modified>
</cp:coreProperties>
</file>